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250B" w14:textId="77777777" w:rsidR="006F09AB" w:rsidRPr="007F5D70" w:rsidRDefault="006F09AB" w:rsidP="006F09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7F5D70">
        <w:rPr>
          <w:rFonts w:eastAsia="Times New Roman"/>
          <w:b/>
          <w:sz w:val="24"/>
          <w:szCs w:val="24"/>
        </w:rPr>
        <w:t>АНО ВО «РОССИЙСКИЙ НОВЫЙ УНИВЕРСИТЕТ»</w:t>
      </w:r>
    </w:p>
    <w:p w14:paraId="2DF0ED64" w14:textId="77777777" w:rsidR="006F09AB" w:rsidRPr="007F5D70" w:rsidRDefault="006F09AB" w:rsidP="006F09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7F5D70">
        <w:rPr>
          <w:rFonts w:eastAsia="Times New Roman"/>
          <w:b/>
          <w:sz w:val="24"/>
          <w:szCs w:val="24"/>
        </w:rPr>
        <w:t>РосНОУ</w:t>
      </w:r>
    </w:p>
    <w:p w14:paraId="0ECFD95E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  <w:r w:rsidRPr="007F5D70">
        <w:rPr>
          <w:rFonts w:eastAsia="Arial Unicode MS" w:cs="Arial Unicode MS"/>
          <w:b/>
          <w:color w:val="000000"/>
          <w:sz w:val="24"/>
          <w:szCs w:val="24"/>
        </w:rPr>
        <w:t>Тамбовский филиал</w:t>
      </w:r>
    </w:p>
    <w:p w14:paraId="56D29BED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  <w:r w:rsidRPr="007F5D70">
        <w:rPr>
          <w:rFonts w:eastAsia="Arial Unicode MS" w:cs="Arial Unicode MS"/>
          <w:b/>
          <w:color w:val="000000"/>
          <w:sz w:val="24"/>
          <w:szCs w:val="24"/>
        </w:rPr>
        <w:t>Факультет экономики и прикладной информатики</w:t>
      </w:r>
    </w:p>
    <w:p w14:paraId="68B4B673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77C8546F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5B5C0D6D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757BE609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2D34E680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617B8075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59FBFF0A" w14:textId="77777777" w:rsidR="006F09AB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33740A1C" w14:textId="77777777" w:rsidR="006F09AB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05B4A818" w14:textId="77777777" w:rsidR="006F09AB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7EA164FA" w14:textId="77777777" w:rsidR="006F09AB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10ABB6DF" w14:textId="77777777" w:rsidR="006F09AB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269339CB" w14:textId="77777777" w:rsidR="006F09AB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791CDDBC" w14:textId="77777777" w:rsidR="006F09AB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63736FF4" w14:textId="77777777" w:rsidR="006F09AB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5E9ACAD1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4"/>
          <w:szCs w:val="24"/>
        </w:rPr>
      </w:pPr>
    </w:p>
    <w:p w14:paraId="73639255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8"/>
          <w:szCs w:val="28"/>
        </w:rPr>
      </w:pPr>
    </w:p>
    <w:p w14:paraId="4DF1C1FC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7F5D70">
        <w:rPr>
          <w:rFonts w:eastAsia="Arial Unicode MS" w:cs="Arial Unicode MS"/>
          <w:b/>
          <w:color w:val="000000"/>
          <w:sz w:val="28"/>
          <w:szCs w:val="28"/>
        </w:rPr>
        <w:t>ТЕМАТИКА</w:t>
      </w:r>
    </w:p>
    <w:p w14:paraId="4EABCB2B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7F5D70">
        <w:rPr>
          <w:rFonts w:eastAsia="Arial Unicode MS" w:cs="Arial Unicode MS"/>
          <w:b/>
          <w:color w:val="000000"/>
          <w:sz w:val="28"/>
          <w:szCs w:val="28"/>
        </w:rPr>
        <w:t>БАКАЛАВРСКИХ РАБОТ</w:t>
      </w:r>
    </w:p>
    <w:p w14:paraId="2F9E1CAB" w14:textId="77777777" w:rsidR="006F09AB" w:rsidRPr="007F5D70" w:rsidRDefault="006F09AB" w:rsidP="006F09AB">
      <w:pPr>
        <w:widowControl/>
        <w:pBdr>
          <w:top w:val="single" w:sz="18" w:space="1" w:color="auto"/>
        </w:pBdr>
        <w:autoSpaceDE/>
        <w:autoSpaceDN/>
        <w:adjustRightInd/>
        <w:jc w:val="center"/>
        <w:rPr>
          <w:rFonts w:eastAsia="Arial Unicode MS"/>
          <w:b/>
          <w:color w:val="000000"/>
          <w:sz w:val="28"/>
          <w:szCs w:val="28"/>
        </w:rPr>
      </w:pPr>
      <w:r w:rsidRPr="007F5D70">
        <w:rPr>
          <w:rFonts w:eastAsia="Arial Unicode MS"/>
          <w:b/>
          <w:color w:val="000000"/>
          <w:sz w:val="28"/>
          <w:szCs w:val="28"/>
        </w:rPr>
        <w:t>студентов очной и заочной форм обучения</w:t>
      </w:r>
    </w:p>
    <w:p w14:paraId="5FBEA31C" w14:textId="77777777" w:rsidR="006F09AB" w:rsidRPr="007F5D70" w:rsidRDefault="006F09AB" w:rsidP="006F09AB">
      <w:pPr>
        <w:widowControl/>
        <w:autoSpaceDE/>
        <w:autoSpaceDN/>
        <w:adjustRightInd/>
        <w:jc w:val="center"/>
        <w:rPr>
          <w:rFonts w:eastAsia="Arial Unicode MS"/>
          <w:b/>
          <w:color w:val="000000"/>
          <w:sz w:val="28"/>
          <w:szCs w:val="28"/>
        </w:rPr>
      </w:pPr>
      <w:r w:rsidRPr="007F5D70">
        <w:rPr>
          <w:rFonts w:eastAsia="Arial Unicode MS"/>
          <w:b/>
          <w:color w:val="000000"/>
          <w:sz w:val="28"/>
          <w:szCs w:val="28"/>
        </w:rPr>
        <w:t>по направлению 38.03.01 Экономика</w:t>
      </w:r>
    </w:p>
    <w:p w14:paraId="2F8464F4" w14:textId="77777777" w:rsidR="006F09AB" w:rsidRPr="007F5D70" w:rsidRDefault="006F09AB" w:rsidP="006F09AB">
      <w:pPr>
        <w:widowControl/>
        <w:autoSpaceDE/>
        <w:autoSpaceDN/>
        <w:adjustRightInd/>
        <w:jc w:val="center"/>
        <w:rPr>
          <w:rFonts w:eastAsia="Arial Unicode MS"/>
          <w:b/>
          <w:color w:val="000000"/>
          <w:sz w:val="28"/>
          <w:szCs w:val="28"/>
        </w:rPr>
      </w:pPr>
      <w:r w:rsidRPr="007F5D70">
        <w:rPr>
          <w:rFonts w:eastAsia="Arial Unicode MS"/>
          <w:b/>
          <w:color w:val="000000"/>
          <w:sz w:val="28"/>
          <w:szCs w:val="28"/>
        </w:rPr>
        <w:t>Профиль: Финансы и кредит</w:t>
      </w:r>
    </w:p>
    <w:p w14:paraId="0521C12E" w14:textId="10AB6C15" w:rsidR="006F09AB" w:rsidRPr="007F5D70" w:rsidRDefault="006F09AB" w:rsidP="006F09AB">
      <w:pPr>
        <w:widowControl/>
        <w:autoSpaceDE/>
        <w:autoSpaceDN/>
        <w:adjustRightInd/>
        <w:jc w:val="center"/>
        <w:rPr>
          <w:rFonts w:eastAsia="Arial Unicode MS"/>
          <w:b/>
          <w:color w:val="000000"/>
          <w:sz w:val="28"/>
          <w:szCs w:val="28"/>
        </w:rPr>
      </w:pPr>
      <w:r w:rsidRPr="007F5D70">
        <w:rPr>
          <w:rFonts w:eastAsia="Arial Unicode MS"/>
          <w:b/>
          <w:color w:val="000000"/>
          <w:sz w:val="28"/>
          <w:szCs w:val="28"/>
        </w:rPr>
        <w:t>в 202</w:t>
      </w:r>
      <w:r>
        <w:rPr>
          <w:rFonts w:eastAsia="Arial Unicode MS"/>
          <w:b/>
          <w:color w:val="000000"/>
          <w:sz w:val="28"/>
          <w:szCs w:val="28"/>
        </w:rPr>
        <w:t>4</w:t>
      </w:r>
      <w:r w:rsidRPr="007F5D70">
        <w:rPr>
          <w:rFonts w:eastAsia="Arial Unicode MS"/>
          <w:b/>
          <w:color w:val="000000"/>
          <w:sz w:val="28"/>
          <w:szCs w:val="28"/>
        </w:rPr>
        <w:t>/202</w:t>
      </w:r>
      <w:r>
        <w:rPr>
          <w:rFonts w:eastAsia="Arial Unicode MS"/>
          <w:b/>
          <w:color w:val="000000"/>
          <w:sz w:val="28"/>
          <w:szCs w:val="28"/>
        </w:rPr>
        <w:t>5</w:t>
      </w:r>
      <w:r w:rsidRPr="007F5D70">
        <w:rPr>
          <w:rFonts w:eastAsia="Arial Unicode MS"/>
          <w:b/>
          <w:color w:val="000000"/>
          <w:sz w:val="28"/>
          <w:szCs w:val="28"/>
        </w:rPr>
        <w:t xml:space="preserve"> уч.</w:t>
      </w:r>
      <w:r>
        <w:rPr>
          <w:rFonts w:eastAsia="Arial Unicode MS"/>
          <w:b/>
          <w:color w:val="000000"/>
          <w:sz w:val="28"/>
          <w:szCs w:val="28"/>
        </w:rPr>
        <w:t xml:space="preserve"> </w:t>
      </w:r>
      <w:r w:rsidRPr="007F5D70">
        <w:rPr>
          <w:rFonts w:eastAsia="Arial Unicode MS"/>
          <w:b/>
          <w:color w:val="000000"/>
          <w:sz w:val="28"/>
          <w:szCs w:val="28"/>
        </w:rPr>
        <w:t>году</w:t>
      </w:r>
    </w:p>
    <w:p w14:paraId="7AFCC1B2" w14:textId="77777777" w:rsidR="006F09AB" w:rsidRPr="007F5D70" w:rsidRDefault="006F09AB" w:rsidP="006F09AB">
      <w:pPr>
        <w:widowControl/>
        <w:autoSpaceDE/>
        <w:autoSpaceDN/>
        <w:adjustRightInd/>
        <w:jc w:val="center"/>
        <w:rPr>
          <w:rFonts w:eastAsia="Arial Unicode MS"/>
          <w:b/>
          <w:color w:val="000000"/>
          <w:sz w:val="28"/>
          <w:szCs w:val="28"/>
        </w:rPr>
      </w:pPr>
    </w:p>
    <w:p w14:paraId="4D9FCE83" w14:textId="77777777" w:rsidR="006F09AB" w:rsidRPr="007F5D70" w:rsidRDefault="006F09AB" w:rsidP="006F09AB">
      <w:pPr>
        <w:widowControl/>
        <w:autoSpaceDE/>
        <w:autoSpaceDN/>
        <w:adjustRightInd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14:paraId="06C25361" w14:textId="77777777" w:rsidR="006F09AB" w:rsidRPr="007F5D70" w:rsidRDefault="006F09AB" w:rsidP="006F09AB">
      <w:pPr>
        <w:widowControl/>
        <w:autoSpaceDE/>
        <w:autoSpaceDN/>
        <w:adjustRightInd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68057745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  <w:bookmarkStart w:id="0" w:name="_Toc149236462"/>
      <w:bookmarkEnd w:id="0"/>
    </w:p>
    <w:p w14:paraId="34BD7366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6300E805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34D1EB19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7434EB68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2D37E001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53995D81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3DA50138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7E2C95A2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0F757552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28227BDE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4DF6CC83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1010A7C4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6A00CC70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3BAFD468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63746CF3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048497F3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6DC5E771" w14:textId="77777777" w:rsidR="006F09AB" w:rsidRPr="007F5D70" w:rsidRDefault="006F09AB" w:rsidP="006F09AB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14:paraId="5C4CD3A8" w14:textId="77777777" w:rsidR="006F09AB" w:rsidRPr="007F5D70" w:rsidRDefault="006F09AB" w:rsidP="006F09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7F5D70">
        <w:rPr>
          <w:rFonts w:eastAsia="Times New Roman"/>
          <w:b/>
          <w:sz w:val="24"/>
          <w:szCs w:val="24"/>
        </w:rPr>
        <w:t xml:space="preserve">Тамбов </w:t>
      </w:r>
    </w:p>
    <w:p w14:paraId="0A60CCBF" w14:textId="77777777" w:rsidR="006F09AB" w:rsidRPr="007F5D70" w:rsidRDefault="006F09AB" w:rsidP="006F09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7F5D70">
        <w:rPr>
          <w:rFonts w:eastAsia="Times New Roman"/>
          <w:b/>
          <w:sz w:val="24"/>
          <w:szCs w:val="24"/>
        </w:rPr>
        <w:t>202</w:t>
      </w:r>
      <w:r>
        <w:rPr>
          <w:rFonts w:eastAsia="Times New Roman"/>
          <w:b/>
          <w:sz w:val="24"/>
          <w:szCs w:val="24"/>
        </w:rPr>
        <w:t>5</w:t>
      </w:r>
      <w:r w:rsidRPr="007F5D70">
        <w:rPr>
          <w:rFonts w:eastAsia="Times New Roman"/>
          <w:b/>
          <w:sz w:val="24"/>
          <w:szCs w:val="24"/>
        </w:rPr>
        <w:t xml:space="preserve"> г.</w:t>
      </w:r>
    </w:p>
    <w:p w14:paraId="3E9B6067" w14:textId="77777777" w:rsidR="006F09AB" w:rsidRPr="007F5D70" w:rsidRDefault="006F09AB" w:rsidP="006F09AB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szCs w:val="24"/>
        </w:rPr>
      </w:pPr>
    </w:p>
    <w:p w14:paraId="69CE1EEA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lastRenderedPageBreak/>
        <w:t>Роль Банка России в обеспечении стабильности денежной системы.</w:t>
      </w:r>
    </w:p>
    <w:p w14:paraId="2384EC7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Приоритеты денежно-кредитной политики Российской Федерации в современных условиях.</w:t>
      </w:r>
    </w:p>
    <w:p w14:paraId="3D7196C8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Проектное финансирование как эффективная форма кредитования инвестиционных проектов.</w:t>
      </w:r>
    </w:p>
    <w:p w14:paraId="49B25DE8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Финансовый рынок России: оценка состояния и тенденций развития.</w:t>
      </w:r>
    </w:p>
    <w:p w14:paraId="5AC972A8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Рынок ценных бумаг России: оценка состояния и тенденций развития. </w:t>
      </w:r>
    </w:p>
    <w:p w14:paraId="7D408E04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Страховой рынок России: оценка состояния и тенденций развития. </w:t>
      </w:r>
    </w:p>
    <w:p w14:paraId="30951A61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Денежный рынок России: оценка состояния и тенденций развития. </w:t>
      </w:r>
    </w:p>
    <w:p w14:paraId="6321B681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Структурная модернизация банковского сектора России: проблемы и перспективы. </w:t>
      </w:r>
    </w:p>
    <w:p w14:paraId="1F6366B4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Влияние финансового рынка на экономический рост в России. </w:t>
      </w:r>
    </w:p>
    <w:p w14:paraId="4367DA30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Структура доходов и расходов бюджетов разных уровней и влияние на развитие экономики. </w:t>
      </w:r>
    </w:p>
    <w:p w14:paraId="022A3244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Политика бюджетного дефицита в Российской Федерации в современных условиях.</w:t>
      </w:r>
    </w:p>
    <w:p w14:paraId="27D7117A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Федеральный бюджет Российской Федерации: оценка особенностей формирования. </w:t>
      </w:r>
    </w:p>
    <w:p w14:paraId="00C646B3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Бюджет субъекта Российской Федерации: оценка особенностей формирования (на примере…). </w:t>
      </w:r>
    </w:p>
    <w:p w14:paraId="5192EF2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Бюджет муниципального образования: оценка особенностей формирования (на примере…).</w:t>
      </w:r>
    </w:p>
    <w:p w14:paraId="0CEEB3B9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Межбюджетные отношения в России: состояние и проблемы формирования (на примере…). </w:t>
      </w:r>
    </w:p>
    <w:p w14:paraId="3C717063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Доходы бюджета субъекта Российской Федерации и пути их повышения (на примере бюджета конкретного региона). </w:t>
      </w:r>
    </w:p>
    <w:p w14:paraId="66F157E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Доходы бюджетов муниципальных образований и пути их повышения (на примере конкретного муниципального образования). </w:t>
      </w:r>
    </w:p>
    <w:p w14:paraId="53C76116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Динамика и оценка расходов федерального бюджета. </w:t>
      </w:r>
    </w:p>
    <w:p w14:paraId="22E46D19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Динамика и оценка доходов федерального бюджета. </w:t>
      </w:r>
    </w:p>
    <w:p w14:paraId="303A2556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Финансовая безопасность России и особенности ее регулирования. </w:t>
      </w:r>
    </w:p>
    <w:p w14:paraId="41B71222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Формирование эффективной системы управления государственными финансами в условиях цикличного развития экономики. </w:t>
      </w:r>
    </w:p>
    <w:p w14:paraId="273F7D8B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Особенности формирования системы государственных доходов и расходов в период экономического кризиса. </w:t>
      </w:r>
    </w:p>
    <w:p w14:paraId="49BFF325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Оценка государственного финансового стимулирования развития предпринимательства в России (на примере…). </w:t>
      </w:r>
    </w:p>
    <w:p w14:paraId="63DFAE60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Направления и формы государственной поддержки малого предпринимательства в России. </w:t>
      </w:r>
    </w:p>
    <w:p w14:paraId="17319436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7F5D70">
        <w:rPr>
          <w:sz w:val="28"/>
          <w:szCs w:val="28"/>
        </w:rPr>
        <w:t>Краудинвестинг</w:t>
      </w:r>
      <w:proofErr w:type="spellEnd"/>
      <w:r w:rsidRPr="007F5D70">
        <w:rPr>
          <w:sz w:val="28"/>
          <w:szCs w:val="28"/>
        </w:rPr>
        <w:t xml:space="preserve"> как современный финансовый инструмент и перспективы его развития. </w:t>
      </w:r>
    </w:p>
    <w:p w14:paraId="640F8E57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Коммерческие банки и их роль в социально-экономическом развитии общества. </w:t>
      </w:r>
    </w:p>
    <w:p w14:paraId="43D49EA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Современные тенденции развития деятельности российских коммерческих банков. </w:t>
      </w:r>
    </w:p>
    <w:p w14:paraId="4ED87BC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Проблемы рационального использования средств внебюджетных фондов </w:t>
      </w:r>
      <w:r w:rsidRPr="007F5D70">
        <w:rPr>
          <w:sz w:val="28"/>
          <w:szCs w:val="28"/>
        </w:rPr>
        <w:lastRenderedPageBreak/>
        <w:t xml:space="preserve">как фактор повышения качества бюджетных услуг. </w:t>
      </w:r>
    </w:p>
    <w:p w14:paraId="6212A50A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Реформирование системы пенсионного обеспечения в Российской Федерации. </w:t>
      </w:r>
    </w:p>
    <w:p w14:paraId="00525F9B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Внебюджетные фонды: особенности функционирования в России. </w:t>
      </w:r>
    </w:p>
    <w:p w14:paraId="732A7128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Социальное страхование в Российской Федерации: финансовые аспекты и перспективы развития. </w:t>
      </w:r>
    </w:p>
    <w:p w14:paraId="3E44000C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Медицинское страхование в Российской Федерации: финансовые аспекты и перспективы развития. </w:t>
      </w:r>
    </w:p>
    <w:p w14:paraId="51C29F9B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Пенсионное страхование в Российской Федерации: финансовые аспекты и перспективы развития. </w:t>
      </w:r>
    </w:p>
    <w:p w14:paraId="3271CF95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Финансовое обеспечение здравоохранения в Российской Федерации. </w:t>
      </w:r>
    </w:p>
    <w:p w14:paraId="53354B8A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Формирование эффективного механизма финансирования системы государственного образования в Российской Федерации.</w:t>
      </w:r>
    </w:p>
    <w:p w14:paraId="3E9FC0C1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Система социального страхования и обеспечения в России: особенности развития и пути реформирования. </w:t>
      </w:r>
    </w:p>
    <w:p w14:paraId="11B27ADE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Финансовое регулирование экономических процессов на государственном (муниципальном) уровне в России (на примере…).</w:t>
      </w:r>
    </w:p>
    <w:p w14:paraId="07204675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Оценка государственной финансово-кредитной поддержки субъектов малого бизнеса (на примере…). </w:t>
      </w:r>
    </w:p>
    <w:p w14:paraId="7C3BA5A1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Электронные платежные системы в экономике современной России. </w:t>
      </w:r>
    </w:p>
    <w:p w14:paraId="174E1B5C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Пластиковые карты в современной национальной системе розничных безналичных платежей (на примере…). </w:t>
      </w:r>
    </w:p>
    <w:p w14:paraId="2A7C544B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Рынок потребительского кредитования в России: основные тенденции развития. </w:t>
      </w:r>
    </w:p>
    <w:p w14:paraId="7EBA79BD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Рынок ипотечного жилищного кредитования в Российской Федерации: тенденции, проблемы и перспективы развития в современных условиях. </w:t>
      </w:r>
    </w:p>
    <w:p w14:paraId="52DD4637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Направления и перспективы развития ипотечного жилищного кредитования в современных условиях. </w:t>
      </w:r>
    </w:p>
    <w:p w14:paraId="0DDB7DE1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Кредитование физических лиц коммерческими банками» (на примере…). </w:t>
      </w:r>
    </w:p>
    <w:p w14:paraId="3878E8AC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Анализ деятельности коммерческих банков по привлечению вкладов физических лиц (на примере...). </w:t>
      </w:r>
    </w:p>
    <w:p w14:paraId="1182D059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Факторинг как инструмент обеспечения финансовой устойчивости организации (на примере…).</w:t>
      </w:r>
    </w:p>
    <w:p w14:paraId="627FB335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Лизинговые операции коммерческих банков России: проблемы и перспективы развития. </w:t>
      </w:r>
    </w:p>
    <w:p w14:paraId="580AE007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Совершенствование системы дистанционного банковского обслуживания в современных условиях (на примере…). </w:t>
      </w:r>
    </w:p>
    <w:p w14:paraId="34415C56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Рынок венчурного инвестирования в России: современное состояние и тенденции развития. </w:t>
      </w:r>
    </w:p>
    <w:p w14:paraId="4A802961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Рынок лизинговых услуг в России: современное состояние и тенденции развития. </w:t>
      </w:r>
    </w:p>
    <w:p w14:paraId="31C05BC9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Финансовые аспекты развития страхования в России: проблемы и перспективы.</w:t>
      </w:r>
    </w:p>
    <w:p w14:paraId="3B8DF6ED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Реструктуризация организации (предприятия) как способ повышения его финансовой устойчивости (на примере...). </w:t>
      </w:r>
    </w:p>
    <w:p w14:paraId="5046B1D2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Оценка вероятности банкротства и меры финансового оздоровления </w:t>
      </w:r>
      <w:r w:rsidRPr="007F5D70">
        <w:rPr>
          <w:sz w:val="28"/>
          <w:szCs w:val="28"/>
        </w:rPr>
        <w:lastRenderedPageBreak/>
        <w:t xml:space="preserve">организации (на примере...). </w:t>
      </w:r>
    </w:p>
    <w:p w14:paraId="4320A952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Финансово-кредитные методы государственного стимулирования развития малого предпринимательства в России (на примере…). </w:t>
      </w:r>
    </w:p>
    <w:p w14:paraId="570C7512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Финансовое состояние компании: долгосрочный и краткосрочный аспекты (на примере…). </w:t>
      </w:r>
    </w:p>
    <w:p w14:paraId="13F41BEB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Методы обеспечения финансовой устойчивости организации (на примере…). </w:t>
      </w:r>
    </w:p>
    <w:p w14:paraId="16DFBAD3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платежеспособностью организации (на примере...). </w:t>
      </w:r>
    </w:p>
    <w:p w14:paraId="200EE9D3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Методы финансового оздоровления компании (на примере…). </w:t>
      </w:r>
    </w:p>
    <w:p w14:paraId="772D0DD4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Заемный капитал в финансировании предпринимательской деятельности (на примере…). </w:t>
      </w:r>
    </w:p>
    <w:p w14:paraId="1678777A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Лизинг как инструмент обеспечения развития предпринимательской деятельности. </w:t>
      </w:r>
    </w:p>
    <w:p w14:paraId="268C47BB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Финансовый механизм управления деятельностью организации (на примере…). </w:t>
      </w:r>
    </w:p>
    <w:p w14:paraId="6EA8A48D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Формирование и использование прибыли организации (на примере…). </w:t>
      </w:r>
    </w:p>
    <w:p w14:paraId="56BDAA56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Формирование и использование собственного капитала компании (на примере...). </w:t>
      </w:r>
    </w:p>
    <w:p w14:paraId="453C7B7C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Оценка эффективности использования оборотного капитала организации (на примере...). </w:t>
      </w:r>
    </w:p>
    <w:p w14:paraId="3C5A2082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Формирование и использование финансовых ресурсов организации (на примере…). </w:t>
      </w:r>
    </w:p>
    <w:p w14:paraId="689DFA9C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Повышение финансовой устойчивости предприятия (на примере…). </w:t>
      </w:r>
    </w:p>
    <w:p w14:paraId="0FA41548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Обеспечение финансовой устойчивости и платежеспособности организации (на примере…). </w:t>
      </w:r>
    </w:p>
    <w:p w14:paraId="24D12022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дебиторской и кредиторской задолженностью организации и повышение ее эффективности (на примере…). </w:t>
      </w:r>
    </w:p>
    <w:p w14:paraId="05CA7BF1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дебиторской задолженностью как основа финансовой устойчивости организации (на примере…). </w:t>
      </w:r>
    </w:p>
    <w:p w14:paraId="440179E2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кредиторской задолженностью как основа финансовой устойчивости организации (на примере…). </w:t>
      </w:r>
    </w:p>
    <w:p w14:paraId="07ADA8D3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дебиторской задолженностью в системе финансового менеджмента предприятия (на примере…). </w:t>
      </w:r>
    </w:p>
    <w:p w14:paraId="2C325256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Разработка системы управления денежными средствами для предприятия (на примере…).</w:t>
      </w:r>
    </w:p>
    <w:p w14:paraId="218D831D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долгосрочными и краткосрочными финансовыми активами предприятия (на примере…). </w:t>
      </w:r>
    </w:p>
    <w:p w14:paraId="4CEBA928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движением денежных потоков на предприятии (на примере…). </w:t>
      </w:r>
    </w:p>
    <w:p w14:paraId="07C53129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Разработка системы внутрифирменного финансового планирования для предприятия (на примере…). </w:t>
      </w:r>
    </w:p>
    <w:p w14:paraId="32FBAC44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Организация системы долгосрочного финансового планирования на предприятии (на примере…). </w:t>
      </w:r>
    </w:p>
    <w:p w14:paraId="7C0C7348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Организация системы текущего и оперативного финансового планирования на предприятии (на примере…). </w:t>
      </w:r>
    </w:p>
    <w:p w14:paraId="04AF9569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Планирование и прогнозирование финансовых показателей предприятия </w:t>
      </w:r>
      <w:r w:rsidRPr="007F5D70">
        <w:rPr>
          <w:sz w:val="28"/>
          <w:szCs w:val="28"/>
        </w:rPr>
        <w:lastRenderedPageBreak/>
        <w:t xml:space="preserve">(на примере…). </w:t>
      </w:r>
    </w:p>
    <w:p w14:paraId="5F03812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Бюджетирование как инструмент финансового планирования на предприятии (на примере…).</w:t>
      </w:r>
    </w:p>
    <w:p w14:paraId="247FD014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Система финансового контроля в управлении предприятием: содержание, формы, методы и инструменты реализации (на примере...).</w:t>
      </w:r>
    </w:p>
    <w:p w14:paraId="565E473C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Разработка и оценка эффективности инвестиционного проекта на предприятии (на примере…). </w:t>
      </w:r>
    </w:p>
    <w:p w14:paraId="79DFBCE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Инвестиционная деятельность организации и оценка ее эффективности (на примере…). </w:t>
      </w:r>
    </w:p>
    <w:p w14:paraId="17600B7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Совершенствование инвестиционной политики предприятия (на примере…). </w:t>
      </w:r>
    </w:p>
    <w:p w14:paraId="5AA5C58D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Инвестиционный проект организации и оценка его эффективности (на примере…). </w:t>
      </w:r>
    </w:p>
    <w:p w14:paraId="249897D4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оборотными активами организации и повышение его эффективности (на примере …). </w:t>
      </w:r>
    </w:p>
    <w:p w14:paraId="0D055F2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финансами малого бизнеса (на примере…). </w:t>
      </w:r>
    </w:p>
    <w:p w14:paraId="22214646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Особенности финансов домохозяйств в России и их специфика в кризисный период. </w:t>
      </w:r>
    </w:p>
    <w:p w14:paraId="7191A7B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Структура семейного бюджета и методы его оптимизации. </w:t>
      </w:r>
    </w:p>
    <w:p w14:paraId="7BDD2CB0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Семейные инвестиции: стратегия и тактика на финансовых рынках. </w:t>
      </w:r>
    </w:p>
    <w:p w14:paraId="6F086820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Управление личными сбережениями: проблемы и пути совершенствования в России. </w:t>
      </w:r>
    </w:p>
    <w:p w14:paraId="308F8E22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Методы аккумулирования сбережений населения в России. </w:t>
      </w:r>
    </w:p>
    <w:p w14:paraId="0E4C8798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Анализ и оценка сберегательного потенциала домашних хозяйств. </w:t>
      </w:r>
    </w:p>
    <w:p w14:paraId="28FA9282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Финансовая безопасность предприятия и пути ее повышения (на примере…). </w:t>
      </w:r>
    </w:p>
    <w:p w14:paraId="2FD35939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Оценка влияния государственных финансов на качество жизни населения. </w:t>
      </w:r>
    </w:p>
    <w:p w14:paraId="5A12AAE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Анализ арбитражных возможностей на денежном и валютном рынках. </w:t>
      </w:r>
    </w:p>
    <w:p w14:paraId="19347AC1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Социальное страхование в Российской Федерации: финансовые аспекты. </w:t>
      </w:r>
    </w:p>
    <w:p w14:paraId="0D55EF1F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Финансовый механизм функционирования некоммерческих организаций России и пути его совершенствования (на примере…). </w:t>
      </w:r>
    </w:p>
    <w:p w14:paraId="34C323CC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Особенности финансового управления организацией в условиях кризиса (на примере…). </w:t>
      </w:r>
    </w:p>
    <w:p w14:paraId="3D41110B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Финансовая безопасность организации и пути ее повышения (на примере…).</w:t>
      </w:r>
    </w:p>
    <w:p w14:paraId="043794DD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Оценка стоимости компании как инструмент повышения эффективности управления (на примере…). </w:t>
      </w:r>
    </w:p>
    <w:p w14:paraId="635688CC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 xml:space="preserve">Дивидендная политика организации и ее значение (на примере...). </w:t>
      </w:r>
    </w:p>
    <w:p w14:paraId="09CAE1E4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Совершенствование налогового планирования на предприятиях (организациях) России (на примере…).</w:t>
      </w:r>
    </w:p>
    <w:p w14:paraId="47488AE5" w14:textId="77777777" w:rsidR="006F09AB" w:rsidRPr="007F5D70" w:rsidRDefault="006F09AB" w:rsidP="006F09AB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7F5D70">
        <w:rPr>
          <w:sz w:val="28"/>
          <w:szCs w:val="28"/>
        </w:rPr>
        <w:t>Свободная тема.</w:t>
      </w:r>
    </w:p>
    <w:p w14:paraId="45054D55" w14:textId="77777777" w:rsidR="006F09AB" w:rsidRPr="007F5D70" w:rsidRDefault="006F09AB" w:rsidP="006F09AB">
      <w:pPr>
        <w:widowControl/>
        <w:tabs>
          <w:tab w:val="left" w:pos="426"/>
        </w:tabs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7747D0F" w14:textId="77777777" w:rsidR="006F09AB" w:rsidRPr="007F5D70" w:rsidRDefault="006F09AB" w:rsidP="006F09AB">
      <w:pPr>
        <w:widowControl/>
        <w:shd w:val="clear" w:color="auto" w:fill="FFFFFF"/>
        <w:autoSpaceDE/>
        <w:autoSpaceDN/>
        <w:adjustRightInd/>
        <w:ind w:right="5069"/>
        <w:rPr>
          <w:rFonts w:eastAsia="Arial Unicode MS" w:cs="Arial Unicode MS"/>
          <w:i/>
          <w:color w:val="000000"/>
          <w:sz w:val="22"/>
          <w:szCs w:val="22"/>
        </w:rPr>
      </w:pPr>
      <w:r w:rsidRPr="007F5D70">
        <w:rPr>
          <w:rFonts w:eastAsia="Arial Unicode MS" w:cs="Arial Unicode MS"/>
          <w:i/>
          <w:color w:val="000000"/>
          <w:sz w:val="22"/>
          <w:szCs w:val="22"/>
        </w:rPr>
        <w:t xml:space="preserve">Вопросы рассмотрены и утверждены на заседании кафедры экономики </w:t>
      </w:r>
    </w:p>
    <w:p w14:paraId="4AEE97B8" w14:textId="77777777" w:rsidR="006F09AB" w:rsidRPr="007F5D70" w:rsidRDefault="006F09AB" w:rsidP="006F09AB">
      <w:pPr>
        <w:widowControl/>
        <w:shd w:val="clear" w:color="auto" w:fill="FFFFFF"/>
        <w:autoSpaceDE/>
        <w:autoSpaceDN/>
        <w:adjustRightInd/>
        <w:ind w:right="4110"/>
        <w:rPr>
          <w:rFonts w:eastAsia="Arial Unicode MS" w:cs="Arial Unicode MS"/>
          <w:i/>
          <w:color w:val="000000"/>
          <w:sz w:val="22"/>
          <w:szCs w:val="22"/>
        </w:rPr>
      </w:pPr>
      <w:r w:rsidRPr="007F5D70">
        <w:rPr>
          <w:rFonts w:eastAsia="Arial Unicode MS" w:cs="Arial Unicode MS"/>
          <w:i/>
          <w:color w:val="000000"/>
          <w:sz w:val="22"/>
          <w:szCs w:val="22"/>
        </w:rPr>
        <w:t xml:space="preserve">Протокол № </w:t>
      </w:r>
      <w:r>
        <w:rPr>
          <w:rFonts w:eastAsia="Arial Unicode MS" w:cs="Arial Unicode MS"/>
          <w:i/>
          <w:color w:val="000000"/>
          <w:sz w:val="22"/>
          <w:szCs w:val="22"/>
        </w:rPr>
        <w:t>6</w:t>
      </w:r>
      <w:r w:rsidRPr="007F5D70">
        <w:rPr>
          <w:rFonts w:eastAsia="Arial Unicode MS" w:cs="Arial Unicode MS"/>
          <w:i/>
          <w:color w:val="000000"/>
          <w:sz w:val="22"/>
          <w:szCs w:val="22"/>
        </w:rPr>
        <w:t xml:space="preserve"> от «</w:t>
      </w:r>
      <w:r>
        <w:rPr>
          <w:rFonts w:eastAsia="Arial Unicode MS" w:cs="Arial Unicode MS"/>
          <w:i/>
          <w:color w:val="000000"/>
          <w:sz w:val="22"/>
          <w:szCs w:val="22"/>
        </w:rPr>
        <w:t>27</w:t>
      </w:r>
      <w:r w:rsidRPr="007F5D70">
        <w:rPr>
          <w:rFonts w:eastAsia="Arial Unicode MS" w:cs="Arial Unicode MS"/>
          <w:i/>
          <w:color w:val="000000"/>
          <w:sz w:val="22"/>
          <w:szCs w:val="22"/>
        </w:rPr>
        <w:t xml:space="preserve">» </w:t>
      </w:r>
      <w:r>
        <w:rPr>
          <w:rFonts w:eastAsia="Arial Unicode MS" w:cs="Arial Unicode MS"/>
          <w:i/>
          <w:color w:val="000000"/>
          <w:sz w:val="22"/>
          <w:szCs w:val="22"/>
        </w:rPr>
        <w:t>марта</w:t>
      </w:r>
      <w:r w:rsidRPr="007F5D70">
        <w:rPr>
          <w:rFonts w:eastAsia="Arial Unicode MS" w:cs="Arial Unicode MS"/>
          <w:i/>
          <w:color w:val="000000"/>
          <w:sz w:val="22"/>
          <w:szCs w:val="22"/>
        </w:rPr>
        <w:t xml:space="preserve"> 202</w:t>
      </w:r>
      <w:r>
        <w:rPr>
          <w:rFonts w:eastAsia="Arial Unicode MS" w:cs="Arial Unicode MS"/>
          <w:i/>
          <w:color w:val="000000"/>
          <w:sz w:val="22"/>
          <w:szCs w:val="22"/>
        </w:rPr>
        <w:t>5</w:t>
      </w:r>
      <w:r w:rsidRPr="007F5D70">
        <w:rPr>
          <w:rFonts w:eastAsia="Arial Unicode MS" w:cs="Arial Unicode MS"/>
          <w:i/>
          <w:color w:val="000000"/>
          <w:sz w:val="22"/>
          <w:szCs w:val="22"/>
        </w:rPr>
        <w:t xml:space="preserve"> г.</w:t>
      </w:r>
    </w:p>
    <w:p w14:paraId="15663D2D" w14:textId="6657BB00" w:rsidR="009C7C81" w:rsidRPr="006F09AB" w:rsidRDefault="006F09AB" w:rsidP="006F09AB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  <w:lang w:eastAsia="en-US"/>
        </w:rPr>
      </w:pPr>
    </w:p>
    <w:sectPr w:rsidR="009C7C81" w:rsidRPr="006F09AB" w:rsidSect="006F09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067DC"/>
    <w:multiLevelType w:val="hybridMultilevel"/>
    <w:tmpl w:val="7EE6D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AB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6F09AB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71E7"/>
  <w15:chartTrackingRefBased/>
  <w15:docId w15:val="{731C7825-FF98-4259-A216-6B33CF5B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uiPriority w:val="34"/>
    <w:qFormat/>
    <w:rsid w:val="006F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1325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2025-05-21T07:24:00Z</dcterms:created>
  <dcterms:modified xsi:type="dcterms:W3CDTF">2025-05-21T07:26:00Z</dcterms:modified>
</cp:coreProperties>
</file>